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  <w:r w:rsidRPr="00CF6E26">
        <w:rPr>
          <w:rFonts w:eastAsia="Calibri"/>
          <w:b/>
          <w:color w:val="333333"/>
        </w:rPr>
        <w:t>Технико-экономическое обоснование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CF6E26">
        <w:rPr>
          <w:rFonts w:eastAsia="Times New Roman"/>
          <w:color w:val="333333"/>
          <w:lang w:eastAsia="ru-RU"/>
        </w:rPr>
        <w:t xml:space="preserve">для участия на первом этапе </w:t>
      </w:r>
      <w:r w:rsidRPr="00CF6E26">
        <w:rPr>
          <w:rFonts w:eastAsia="Times New Roman"/>
          <w:lang w:eastAsia="ru-RU"/>
        </w:rPr>
        <w:t xml:space="preserve">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1. Направление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2. Наименование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3. Цель проекта 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4. Основная информация о проекте </w:t>
      </w:r>
      <w:r w:rsidRPr="00CF6E26">
        <w:rPr>
          <w:rFonts w:eastAsia="Calibri"/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возможности и объемы</w:t>
      </w:r>
      <w:proofErr w:type="gramStart"/>
      <w:r w:rsidRPr="00CF6E26">
        <w:rPr>
          <w:rFonts w:eastAsia="Calibri"/>
          <w:color w:val="2E2E2E"/>
        </w:rPr>
        <w:t>»)_</w:t>
      </w:r>
      <w:proofErr w:type="gramEnd"/>
      <w:r w:rsidRPr="00CF6E26">
        <w:rPr>
          <w:rFonts w:eastAsia="Calibri"/>
          <w:color w:val="2E2E2E"/>
        </w:rPr>
        <w:t>___________________________________________________________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5. Общая сумма расходов по проекту в соответствии с планом расходов </w:t>
      </w:r>
      <w:r w:rsidRPr="00CF6E26">
        <w:rPr>
          <w:rFonts w:eastAsia="Times New Roman"/>
          <w:lang w:eastAsia="ru-RU"/>
        </w:rPr>
        <w:t>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</w:t>
      </w:r>
      <w:r w:rsidRPr="00CF6E26">
        <w:rPr>
          <w:rFonts w:eastAsia="Calibri"/>
          <w:b/>
          <w:bCs/>
          <w:color w:val="2E2E2E"/>
        </w:rPr>
        <w:t xml:space="preserve"> </w:t>
      </w:r>
      <w:r w:rsidRPr="00CF6E26">
        <w:rPr>
          <w:rFonts w:eastAsia="Calibri"/>
          <w:color w:val="2E2E2E"/>
        </w:rPr>
        <w:t>___________________________рублей.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 xml:space="preserve">Перечень оборудования, техники, металлоконструкции 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>для каркасно-тентовых ангаров (помещений) сельскохозяйственного назначения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5"/>
        <w:gridCol w:w="2694"/>
        <w:gridCol w:w="2376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оборудования, техники, металлоконструкции для каркасно-тентовых ангаров (помещений) сельскохозяйственного назначения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535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6. Расходы по запуску проекта, не включенные в план расходов: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376"/>
      </w:tblGrid>
      <w:tr w:rsidR="00CF6E26" w:rsidRPr="00CF6E26" w:rsidTr="00CF6E26">
        <w:trPr>
          <w:tblHeader/>
        </w:trPr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статей расходов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 xml:space="preserve">Сумма, </w:t>
            </w:r>
          </w:p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Подготовка проектно-сметной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 xml:space="preserve">Аренда помещений 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Общестроительные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Пусконаладочные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электросетям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водоснабжению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Утилизация отходов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Приобретение сырья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Сертификация готовой продукции и т.д.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606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7. Расчет эффективности проекта (</w:t>
      </w:r>
      <w:r w:rsidRPr="00CF6E26">
        <w:rPr>
          <w:rFonts w:eastAsia="Calibri"/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Times New Roman"/>
          <w:color w:val="2E2E2E"/>
        </w:rPr>
      </w:pPr>
      <w:r w:rsidRPr="00CF6E26">
        <w:rPr>
          <w:rFonts w:eastAsia="Times New Roman"/>
          <w:b/>
          <w:bCs/>
          <w:color w:val="2E2E2E"/>
        </w:rPr>
        <w:t>8. Поквартальный график реализации проекта на 60 месяцев (</w:t>
      </w:r>
      <w:r w:rsidRPr="00CF6E26">
        <w:rPr>
          <w:rFonts w:eastAsia="Times New Roman"/>
          <w:color w:val="2E2E2E"/>
        </w:rPr>
        <w:t xml:space="preserve">календарный план мероприятий по реализации </w:t>
      </w:r>
      <w:proofErr w:type="spellStart"/>
      <w:r w:rsidRPr="00CF6E26">
        <w:rPr>
          <w:rFonts w:eastAsia="Times New Roman"/>
          <w:color w:val="2E2E2E"/>
        </w:rPr>
        <w:t>доходогенерирующего</w:t>
      </w:r>
      <w:proofErr w:type="spellEnd"/>
      <w:r w:rsidRPr="00CF6E26">
        <w:rPr>
          <w:rFonts w:eastAsia="Times New Roman"/>
          <w:color w:val="2E2E2E"/>
        </w:rPr>
        <w:t xml:space="preserve"> проекта: первые 3 года поквартально, следующие 2 года – по годам) </w:t>
      </w:r>
    </w:p>
    <w:p w:rsidR="00CF6E26" w:rsidRPr="00CF6E26" w:rsidRDefault="00CF6E26" w:rsidP="00CF6E2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11"/>
        <w:contextualSpacing/>
        <w:jc w:val="both"/>
        <w:rPr>
          <w:rFonts w:eastAsia="Times New Roman"/>
          <w:color w:val="2E2E2E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8"/>
        <w:gridCol w:w="363"/>
        <w:gridCol w:w="430"/>
        <w:gridCol w:w="507"/>
        <w:gridCol w:w="483"/>
        <w:gridCol w:w="369"/>
        <w:gridCol w:w="420"/>
        <w:gridCol w:w="501"/>
        <w:gridCol w:w="492"/>
        <w:gridCol w:w="353"/>
        <w:gridCol w:w="445"/>
        <w:gridCol w:w="497"/>
        <w:gridCol w:w="487"/>
        <w:gridCol w:w="821"/>
        <w:gridCol w:w="821"/>
      </w:tblGrid>
      <w:tr w:rsidR="00CF6E26" w:rsidRPr="00CF6E26" w:rsidTr="00CF6E26">
        <w:tc>
          <w:tcPr>
            <w:tcW w:w="675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№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</w:tr>
      <w:tr w:rsidR="00CF6E26" w:rsidRPr="00CF6E26" w:rsidTr="00CF6E26">
        <w:tc>
          <w:tcPr>
            <w:tcW w:w="675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Подготовительная работа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(подготовка конкурсной документации, написание бизнес плана)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Защита проекта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>(первый этап, второй этап). Подготовка учредительных документов сельскохозяйственных потребительских кооперативов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с Минсельхозом РБ, поставщиками по реализации проекта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имущественного комплекса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(оборудования, техники, металлоконструкций     </w:t>
            </w:r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sz w:val="24"/>
                <w:szCs w:val="24"/>
              </w:rPr>
              <w:t>для каркасно-тентовых ангаров (помещений)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5.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Организационная работа по запуску проекта (экспертиза проекта, подготовка проектно-сметной </w:t>
            </w: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lastRenderedPageBreak/>
              <w:t xml:space="preserve">документации, заключение договора аренды, </w:t>
            </w:r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общестроительные работы, подключение к электросетям, водоснабжению, утилизация отходов)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сырья/оказание услуг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Сертификация готовой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8.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с потребителями, торговыми сетями по сбыту и др. 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Выпуск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</w:tbl>
    <w:p w:rsidR="00CF6E26" w:rsidRPr="00CF6E26" w:rsidRDefault="00CF6E26" w:rsidP="006F5B29">
      <w:pPr>
        <w:widowControl w:val="0"/>
        <w:shd w:val="clear" w:color="auto" w:fill="FFFFFF"/>
        <w:tabs>
          <w:tab w:val="left" w:pos="426"/>
          <w:tab w:val="left" w:pos="1211"/>
        </w:tabs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eastAsia="Times New Roman"/>
          <w:color w:val="2E2E2E"/>
        </w:rPr>
      </w:pPr>
      <w:bookmarkStart w:id="0" w:name="_GoBack"/>
      <w:bookmarkEnd w:id="0"/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  <w:b/>
          <w:bCs/>
          <w:color w:val="2E2E2E"/>
        </w:rPr>
        <w:t>9. Дополнительная информация (</w:t>
      </w:r>
      <w:r w:rsidRPr="00CF6E26">
        <w:rPr>
          <w:rFonts w:eastAsia="Calibri"/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подпись                расшифровка подписи</w:t>
      </w:r>
    </w:p>
    <w:p w:rsidR="00021758" w:rsidRDefault="00021758" w:rsidP="00CF6E26">
      <w:pPr>
        <w:tabs>
          <w:tab w:val="left" w:pos="5954"/>
        </w:tabs>
        <w:spacing w:after="0" w:line="240" w:lineRule="auto"/>
        <w:ind w:left="6096"/>
        <w:rPr>
          <w:rFonts w:eastAsia="Times New Roman"/>
          <w:lang w:eastAsia="ru-RU"/>
        </w:rPr>
      </w:pPr>
    </w:p>
    <w:p w:rsidR="00F13595" w:rsidRPr="00CF6E26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sectPr w:rsidR="00F13595" w:rsidRPr="00CF6E26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A"/>
    <w:rsid w:val="00021758"/>
    <w:rsid w:val="001905C0"/>
    <w:rsid w:val="001C327C"/>
    <w:rsid w:val="001D3271"/>
    <w:rsid w:val="002A14E4"/>
    <w:rsid w:val="00377872"/>
    <w:rsid w:val="003D5F99"/>
    <w:rsid w:val="00414083"/>
    <w:rsid w:val="00463F7A"/>
    <w:rsid w:val="004C76F2"/>
    <w:rsid w:val="0065575A"/>
    <w:rsid w:val="00672944"/>
    <w:rsid w:val="006D5A0A"/>
    <w:rsid w:val="006F5B29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C4C14"/>
    <w:rsid w:val="00CF6E26"/>
    <w:rsid w:val="00D2486B"/>
    <w:rsid w:val="00D312DC"/>
    <w:rsid w:val="00D626C7"/>
    <w:rsid w:val="00D65C79"/>
    <w:rsid w:val="00D915EC"/>
    <w:rsid w:val="00E017C1"/>
    <w:rsid w:val="00E1672A"/>
    <w:rsid w:val="00EA6BF4"/>
    <w:rsid w:val="00EE5ADF"/>
    <w:rsid w:val="00F13595"/>
    <w:rsid w:val="00F40059"/>
    <w:rsid w:val="00F441AE"/>
    <w:rsid w:val="00F7579C"/>
    <w:rsid w:val="00F910F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D908-71FD-4E17-B486-AC9265F7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User</cp:lastModifiedBy>
  <cp:revision>5</cp:revision>
  <dcterms:created xsi:type="dcterms:W3CDTF">2020-03-26T07:22:00Z</dcterms:created>
  <dcterms:modified xsi:type="dcterms:W3CDTF">2020-03-26T07:23:00Z</dcterms:modified>
</cp:coreProperties>
</file>